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5E17" w14:textId="77777777"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p w14:paraId="75707DE1" w14:textId="77777777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14:paraId="779A25A8" w14:textId="77777777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14:paraId="6FA3A739" w14:textId="77777777"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14:paraId="74532606" w14:textId="77777777"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E698CF" w14:textId="77777777"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14:paraId="0D8114F2" w14:textId="77777777"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14:paraId="2C0D2FED" w14:textId="77777777"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14:paraId="10F470CA" w14:textId="77777777"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>овлечение ребенка с его согласия или без, осознаваемое или неосознанное им в силу возрастной незрелости или других причин, в сексуальные отношения 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14:paraId="0C97B91F" w14:textId="77777777"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14:paraId="33A59588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14:paraId="72664FE1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14:paraId="5A1363E5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14:paraId="34EC3D75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14:paraId="65FE6F3E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14:paraId="6CFE9123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14:paraId="7D12CFF7" w14:textId="77777777"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14:paraId="55C1386E" w14:textId="77777777"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14:paraId="709EBDFB" w14:textId="77777777"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14:paraId="14EB4737" w14:textId="77777777"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14:paraId="2117B45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14:paraId="256F3425" w14:textId="77777777"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14:paraId="3630398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14:paraId="731C7BF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14:paraId="26CD615E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14:paraId="301D1F80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14:paraId="684E4ED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14:paraId="1F343434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14:paraId="30C3600B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14:paraId="524865D4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14:paraId="3E775C12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14:paraId="0413E128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</w:p>
    <w:p w14:paraId="09B15B01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14:paraId="73FCF3ED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14:paraId="4A26BEA3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</w:t>
      </w:r>
      <w:r w:rsidRPr="00AF4579">
        <w:rPr>
          <w:rFonts w:ascii="Times New Roman" w:hAnsi="Times New Roman" w:cs="Times New Roman"/>
          <w:sz w:val="30"/>
          <w:szCs w:val="30"/>
        </w:rPr>
        <w:lastRenderedPageBreak/>
        <w:t>здоровья несовершеннолетнего, либо группой лиц, – наказываются лишением свободы на срок от трех до десяти лет.</w:t>
      </w:r>
    </w:p>
    <w:p w14:paraId="4B6C50A6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14:paraId="155EDD8E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14:paraId="73663D9D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14:paraId="3456B69B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14:paraId="7DA83AD6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</w:p>
    <w:p w14:paraId="39E61E7A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14:paraId="4C2BF62D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занятия проституцией заведомо несовершеннолетних) в сравнении с прошлым годом также возросло (2020 год – 25, 2021 года – 40).</w:t>
      </w:r>
    </w:p>
    <w:p w14:paraId="4D8FFD9B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14:paraId="2800F44F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14:paraId="47A93BBD" w14:textId="77777777"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14:paraId="42658E9D" w14:textId="77777777"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14:paraId="4D1CE56A" w14:textId="77777777"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14:paraId="6899FF2D" w14:textId="77777777"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14:paraId="76DF623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C80EBA" w14:textId="77777777"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14:paraId="7FE9F6AB" w14:textId="77777777"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14:paraId="4DA8FD20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70389F7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14:paraId="0DD0C4AA" w14:textId="77777777"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14:paraId="1D1571DF" w14:textId="77777777"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</w:p>
    <w:p w14:paraId="5ABE2FC2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3B04B6" w14:textId="77777777"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308EC9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>апример, сексуальная агрессия по отношению к более младшим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2989A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14:paraId="19050EDC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17C943" w14:textId="77777777"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14:paraId="15910A26" w14:textId="77777777"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14:paraId="783F228D" w14:textId="77777777"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14:paraId="291D77C1" w14:textId="77777777"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14:paraId="6A87FCC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ситуации. </w:t>
      </w:r>
    </w:p>
    <w:p w14:paraId="7DF8698D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14:paraId="3DF64693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14:paraId="2BFE5516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отмечаются неприятные ощущения в области живота, периодически возникает энурез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14:paraId="5713051B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14:paraId="0FB7CE07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67A7A1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14:paraId="3896911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14:paraId="03493C1C" w14:textId="77777777"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14:paraId="2B93B15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несформированность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077F7F" w14:textId="77777777"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14:paraId="26B305A7" w14:textId="77777777"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энурез, нервно-психические, психосоматические расстройства. </w:t>
      </w:r>
    </w:p>
    <w:p w14:paraId="3CEC9B54" w14:textId="77777777"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14:paraId="5C0FC02D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14:paraId="634C764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638720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14:paraId="1043829C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F6660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14:paraId="6FB5D038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14:paraId="2D01E9D5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со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14:paraId="3D746306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14:paraId="3507C46F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14:paraId="06079558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14:paraId="6BF8FB3A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14:paraId="49CACAF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03DA53E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14:paraId="69D1B8C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14:paraId="2DA9BD46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Тогда до них могут дотронуться врач, родители. </w:t>
      </w:r>
    </w:p>
    <w:p w14:paraId="63CEF54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14:paraId="15A39BC1" w14:textId="77777777"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14:paraId="409AE61F" w14:textId="77777777"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14:paraId="117B1725" w14:textId="77777777"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339ECA" w14:textId="77777777"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5F75A2" w14:textId="77777777"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E30C848" w14:textId="77777777"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3EC8" w14:textId="77777777" w:rsidR="004D662E" w:rsidRDefault="004D662E" w:rsidP="00C45017">
      <w:pPr>
        <w:spacing w:after="0" w:line="240" w:lineRule="auto"/>
      </w:pPr>
      <w:r>
        <w:separator/>
      </w:r>
    </w:p>
  </w:endnote>
  <w:endnote w:type="continuationSeparator" w:id="0">
    <w:p w14:paraId="0B7D6C40" w14:textId="77777777" w:rsidR="004D662E" w:rsidRDefault="004D662E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132D" w14:textId="77777777" w:rsidR="004D662E" w:rsidRDefault="004D662E" w:rsidP="00C45017">
      <w:pPr>
        <w:spacing w:after="0" w:line="240" w:lineRule="auto"/>
      </w:pPr>
      <w:r>
        <w:separator/>
      </w:r>
    </w:p>
  </w:footnote>
  <w:footnote w:type="continuationSeparator" w:id="0">
    <w:p w14:paraId="6D99601A" w14:textId="77777777" w:rsidR="004D662E" w:rsidRDefault="004D662E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B5A1" w14:textId="77777777"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14:paraId="4BDB853B" w14:textId="77777777"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33484"/>
    <w:rsid w:val="00133C89"/>
    <w:rsid w:val="001519BE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84F92"/>
    <w:rsid w:val="00486C81"/>
    <w:rsid w:val="004D662E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8116B"/>
    <w:rsid w:val="008D2837"/>
    <w:rsid w:val="008F5FCB"/>
    <w:rsid w:val="008F6337"/>
    <w:rsid w:val="00AB5463"/>
    <w:rsid w:val="00AF4579"/>
    <w:rsid w:val="00B6271D"/>
    <w:rsid w:val="00C438BF"/>
    <w:rsid w:val="00C45017"/>
    <w:rsid w:val="00C47E22"/>
    <w:rsid w:val="00C56AA0"/>
    <w:rsid w:val="00CF7A42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F511"/>
  <w15:docId w15:val="{36217B18-F91F-445A-93C6-83F36F6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2022-05-11T12:41:00Z</dcterms:created>
  <dcterms:modified xsi:type="dcterms:W3CDTF">2022-05-11T12:41:00Z</dcterms:modified>
</cp:coreProperties>
</file>